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B6704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 w14:paraId="2F6F7CAE">
      <w:pPr>
        <w:pStyle w:val="3"/>
        <w:widowControl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36"/>
        </w:rPr>
        <w:t>业务指标申报表</w:t>
      </w:r>
    </w:p>
    <w:bookmarkEnd w:id="0"/>
    <w:p w14:paraId="188194B5">
      <w:pPr>
        <w:rPr>
          <w:rFonts w:hint="eastAsia"/>
          <w:color w:val="auto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402"/>
        <w:gridCol w:w="2558"/>
        <w:gridCol w:w="1178"/>
      </w:tblGrid>
      <w:tr w14:paraId="3713F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84" w:type="dxa"/>
            <w:noWrap w:val="0"/>
            <w:vAlign w:val="center"/>
          </w:tcPr>
          <w:p w14:paraId="54319308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类别</w:t>
            </w:r>
          </w:p>
        </w:tc>
        <w:tc>
          <w:tcPr>
            <w:tcW w:w="3402" w:type="dxa"/>
            <w:noWrap w:val="0"/>
            <w:vAlign w:val="center"/>
          </w:tcPr>
          <w:p w14:paraId="1564FE7E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指标</w:t>
            </w:r>
          </w:p>
        </w:tc>
        <w:tc>
          <w:tcPr>
            <w:tcW w:w="2558" w:type="dxa"/>
            <w:noWrap w:val="0"/>
            <w:vAlign w:val="center"/>
          </w:tcPr>
          <w:p w14:paraId="47592519">
            <w:pPr>
              <w:jc w:val="center"/>
              <w:rPr>
                <w:rFonts w:hint="eastAsia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数据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或相关情况</w:t>
            </w:r>
          </w:p>
        </w:tc>
        <w:tc>
          <w:tcPr>
            <w:tcW w:w="1178" w:type="dxa"/>
            <w:noWrap w:val="0"/>
            <w:vAlign w:val="center"/>
          </w:tcPr>
          <w:p w14:paraId="44700905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备注</w:t>
            </w:r>
          </w:p>
        </w:tc>
      </w:tr>
      <w:tr w14:paraId="16470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4" w:type="dxa"/>
            <w:vMerge w:val="restart"/>
            <w:noWrap w:val="0"/>
            <w:vAlign w:val="center"/>
          </w:tcPr>
          <w:p w14:paraId="06B2EC71">
            <w:pPr>
              <w:jc w:val="center"/>
              <w:rPr>
                <w:color w:val="auto"/>
                <w:sz w:val="28"/>
                <w:szCs w:val="28"/>
              </w:rPr>
            </w:pPr>
          </w:p>
          <w:p w14:paraId="09F7C0C1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2023年度监管指标</w:t>
            </w:r>
          </w:p>
        </w:tc>
        <w:tc>
          <w:tcPr>
            <w:tcW w:w="3402" w:type="dxa"/>
            <w:noWrap w:val="0"/>
            <w:vAlign w:val="center"/>
          </w:tcPr>
          <w:p w14:paraId="1642698C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资本充足率</w:t>
            </w:r>
          </w:p>
        </w:tc>
        <w:tc>
          <w:tcPr>
            <w:tcW w:w="2558" w:type="dxa"/>
            <w:noWrap w:val="0"/>
            <w:vAlign w:val="center"/>
          </w:tcPr>
          <w:p w14:paraId="3DB1F5BE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44B709B8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2F5D3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7B02083B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1242ABC2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不良贷款率</w:t>
            </w:r>
          </w:p>
        </w:tc>
        <w:tc>
          <w:tcPr>
            <w:tcW w:w="2558" w:type="dxa"/>
            <w:noWrap w:val="0"/>
            <w:vAlign w:val="center"/>
          </w:tcPr>
          <w:p w14:paraId="029EA412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57071294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4E329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4609F270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5157D566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拨备覆盖率</w:t>
            </w:r>
          </w:p>
        </w:tc>
        <w:tc>
          <w:tcPr>
            <w:tcW w:w="2558" w:type="dxa"/>
            <w:noWrap w:val="0"/>
            <w:vAlign w:val="center"/>
          </w:tcPr>
          <w:p w14:paraId="77F62BEB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0C5E2D09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0B818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1F37163C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0580D86C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流动性比例</w:t>
            </w:r>
          </w:p>
        </w:tc>
        <w:tc>
          <w:tcPr>
            <w:tcW w:w="2558" w:type="dxa"/>
            <w:noWrap w:val="0"/>
            <w:vAlign w:val="center"/>
          </w:tcPr>
          <w:p w14:paraId="171A3667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7E01ED80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0E33B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7AC21157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6666B446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内部控制</w:t>
            </w:r>
          </w:p>
        </w:tc>
        <w:tc>
          <w:tcPr>
            <w:tcW w:w="2558" w:type="dxa"/>
            <w:noWrap w:val="0"/>
            <w:vAlign w:val="center"/>
          </w:tcPr>
          <w:p w14:paraId="2C5E7325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7681B7BF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4B52D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7BB246D0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13B98894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信息系统建设</w:t>
            </w:r>
          </w:p>
        </w:tc>
        <w:tc>
          <w:tcPr>
            <w:tcW w:w="2558" w:type="dxa"/>
            <w:noWrap w:val="0"/>
            <w:vAlign w:val="center"/>
          </w:tcPr>
          <w:p w14:paraId="071E6D88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66F73FB6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21AE6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3C06EFA8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122EE7AA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资金支付及对账服务</w:t>
            </w:r>
          </w:p>
        </w:tc>
        <w:tc>
          <w:tcPr>
            <w:tcW w:w="2558" w:type="dxa"/>
            <w:noWrap w:val="0"/>
            <w:vAlign w:val="center"/>
          </w:tcPr>
          <w:p w14:paraId="4D5A8BFD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7C7E951B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7A4E2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5CDDFFD4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5136DB84">
            <w:pPr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color w:val="auto"/>
                <w:sz w:val="28"/>
                <w:szCs w:val="28"/>
              </w:rPr>
              <w:t>分账核算服务</w:t>
            </w:r>
          </w:p>
        </w:tc>
        <w:tc>
          <w:tcPr>
            <w:tcW w:w="2558" w:type="dxa"/>
            <w:noWrap w:val="0"/>
            <w:vAlign w:val="center"/>
          </w:tcPr>
          <w:p w14:paraId="2D0A17E7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5C5D01E0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0C3AB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39EFC17A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3F7AB994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存款利率</w:t>
            </w:r>
          </w:p>
        </w:tc>
        <w:tc>
          <w:tcPr>
            <w:tcW w:w="2558" w:type="dxa"/>
            <w:noWrap w:val="0"/>
            <w:vAlign w:val="center"/>
          </w:tcPr>
          <w:p w14:paraId="57C68BE3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03801A94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  <w:tr w14:paraId="7D197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384" w:type="dxa"/>
            <w:vMerge w:val="continue"/>
            <w:noWrap w:val="0"/>
            <w:vAlign w:val="center"/>
          </w:tcPr>
          <w:p w14:paraId="6364FFE7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1C498D85">
            <w:pPr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工会工作开展</w:t>
            </w:r>
            <w:r>
              <w:rPr>
                <w:rFonts w:hint="eastAsia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2558" w:type="dxa"/>
            <w:noWrap w:val="0"/>
            <w:vAlign w:val="center"/>
          </w:tcPr>
          <w:p w14:paraId="00CB99DD">
            <w:pPr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6F41CD65">
            <w:pPr>
              <w:jc w:val="center"/>
              <w:rPr>
                <w:color w:val="auto"/>
                <w:sz w:val="28"/>
                <w:szCs w:val="28"/>
              </w:rPr>
            </w:pPr>
          </w:p>
        </w:tc>
      </w:tr>
    </w:tbl>
    <w:p w14:paraId="75664ACD">
      <w:pPr>
        <w:rPr>
          <w:rFonts w:hint="eastAsia"/>
          <w:color w:val="auto"/>
          <w:sz w:val="30"/>
          <w:szCs w:val="30"/>
        </w:rPr>
      </w:pPr>
    </w:p>
    <w:p w14:paraId="6B70CE9B">
      <w:pPr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注：本表填报的监管指标数据相应证明文件附后。</w:t>
      </w:r>
    </w:p>
    <w:p w14:paraId="210C1AC2"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/>
          <w:color w:val="auto"/>
        </w:rPr>
        <w:t xml:space="preserve">                            </w:t>
      </w:r>
      <w:r>
        <w:rPr>
          <w:rFonts w:hint="eastAsia"/>
          <w:color w:val="auto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……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银行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（单位公章）</w:t>
      </w:r>
    </w:p>
    <w:p w14:paraId="03851DCD">
      <w:pPr>
        <w:ind w:firstLine="4800" w:firstLineChars="1500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日</w:t>
      </w:r>
    </w:p>
    <w:sectPr>
      <w:footerReference r:id="rId3" w:type="default"/>
      <w:footerReference r:id="rId4" w:type="even"/>
      <w:pgSz w:w="11906" w:h="16838"/>
      <w:pgMar w:top="2211" w:right="1531" w:bottom="1871" w:left="1531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5262A2">
    <w:pPr>
      <w:pStyle w:val="2"/>
      <w:framePr w:wrap="auto" w:vAnchor="text" w:hAnchor="margin" w:xAlign="outside" w:y="1"/>
      <w:rPr>
        <w:rStyle w:val="6"/>
        <w:rFonts w:ascii="宋体"/>
        <w:sz w:val="28"/>
        <w:szCs w:val="28"/>
      </w:rPr>
    </w:pPr>
    <w:r>
      <w:rPr>
        <w:rFonts w:ascii="宋体" w:cs="宋体"/>
        <w:kern w:val="0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Fonts w:ascii="宋体" w:cs="宋体"/>
        <w:kern w:val="0"/>
        <w:sz w:val="28"/>
        <w:szCs w:val="28"/>
      </w:rPr>
      <w:t>—</w:t>
    </w:r>
  </w:p>
  <w:p w14:paraId="3F5F7CDD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6120B">
    <w:pPr>
      <w:pStyle w:val="2"/>
      <w:framePr w:wrap="auto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7C5CCDFC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YzUxMmYwYjE4ZGQ4MmIyYWQ2Yzc0YzFjOTMyNTEifQ=="/>
  </w:docVars>
  <w:rsids>
    <w:rsidRoot w:val="218504C5"/>
    <w:rsid w:val="2185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</w:rPr>
  </w:style>
  <w:style w:type="character" w:styleId="6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2024-09-05T03:45:00Z</dcterms:created>
  <dc:creator>正义之剑</dc:creator>
  <cp:lastModifiedBy>正义之剑</cp:lastModifiedBy>
  <dcterms:modified xsi:type="dcterms:W3CDTF">2024-09-05T03:45:55Z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FEC8DD73387D49BEAB942DB93D1D6500_11</vt:lpwstr>
  </property>
</Properties>
</file>